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0542" w14:textId="312A688D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3A7271">
        <w:rPr>
          <w:rFonts w:asciiTheme="majorHAnsi" w:hAnsiTheme="majorHAnsi" w:cs="Times New Roman"/>
          <w:b/>
          <w:bCs/>
          <w:color w:val="000000"/>
          <w:lang w:val="it-IT"/>
        </w:rPr>
        <w:t>DURACELL NAGRAÐUJE VJERNOST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39D81DBE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4C3B8F" w:rsidRPr="00F805D7">
        <w:rPr>
          <w:rFonts w:asciiTheme="majorHAnsi" w:hAnsiTheme="majorHAnsi" w:cs="Times New Roman"/>
          <w:lang w:val="it-IT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DURACELL NAGRAÐUJE VJERNOST</w:t>
      </w:r>
      <w:r w:rsidR="004C3B8F" w:rsidRPr="00F805D7">
        <w:rPr>
          <w:rFonts w:asciiTheme="majorHAnsi" w:hAnsiTheme="majorHAnsi" w:cs="Times New Roman"/>
          <w:lang w:val="it-IT"/>
        </w:rPr>
        <w:t xml:space="preserve"> 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3A7271">
        <w:rPr>
          <w:rFonts w:asciiTheme="majorHAnsi" w:hAnsiTheme="majorHAnsi" w:cs="Times New Roman"/>
          <w:lang w:val="it-IT"/>
        </w:rPr>
        <w:t xml:space="preserve"> Duracell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2A598258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3A7271">
        <w:rPr>
          <w:rFonts w:asciiTheme="majorHAnsi" w:hAnsiTheme="majorHAnsi" w:cs="Times New Roman"/>
          <w:lang w:val="it-IT"/>
        </w:rPr>
        <w:t>01</w:t>
      </w:r>
      <w:r w:rsidR="00175516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175516">
        <w:rPr>
          <w:rFonts w:asciiTheme="majorHAnsi" w:hAnsiTheme="majorHAnsi" w:cs="Times New Roman"/>
          <w:lang w:val="it-IT"/>
        </w:rPr>
        <w:t>.2020.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3A7271">
        <w:rPr>
          <w:rFonts w:asciiTheme="majorHAnsi" w:hAnsiTheme="majorHAnsi" w:cs="Times New Roman"/>
          <w:lang w:val="it-IT"/>
        </w:rPr>
        <w:t>31</w:t>
      </w:r>
      <w:r w:rsidR="00175516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</w:t>
      </w:r>
      <w:r w:rsidR="00817925">
        <w:rPr>
          <w:rFonts w:asciiTheme="majorHAnsi" w:hAnsiTheme="majorHAnsi" w:cs="Times New Roman"/>
          <w:lang w:val="it-IT"/>
        </w:rPr>
        <w:t xml:space="preserve"> </w:t>
      </w:r>
      <w:r w:rsidR="00AA312C">
        <w:rPr>
          <w:rFonts w:asciiTheme="majorHAnsi" w:hAnsiTheme="majorHAnsi" w:cs="Times New Roman"/>
          <w:lang w:val="it-IT"/>
        </w:rPr>
        <w:t>2020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266AF8FB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toriji Federacije Bosne i Hercegovine</w:t>
      </w:r>
      <w:r w:rsidR="000E77A0" w:rsidRPr="00F805D7">
        <w:rPr>
          <w:rFonts w:asciiTheme="majorHAnsi" w:hAnsiTheme="majorHAnsi" w:cs="Times New Roman"/>
        </w:rPr>
        <w:t xml:space="preserve"> ,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FF1789">
        <w:rPr>
          <w:rFonts w:asciiTheme="majorHAnsi" w:hAnsiTheme="majorHAnsi" w:cs="Times New Roman"/>
        </w:rPr>
        <w:t>a</w:t>
      </w:r>
      <w:r w:rsidR="003353C7" w:rsidRPr="00F805D7">
        <w:rPr>
          <w:rFonts w:asciiTheme="majorHAnsi" w:hAnsiTheme="majorHAnsi" w:cs="Times New Roman"/>
        </w:rPr>
        <w:t xml:space="preserve"> i</w:t>
      </w:r>
      <w:r w:rsidR="00B665E6">
        <w:rPr>
          <w:rFonts w:asciiTheme="majorHAnsi" w:hAnsiTheme="majorHAnsi" w:cs="Times New Roman"/>
        </w:rPr>
        <w:t xml:space="preserve"> u</w:t>
      </w:r>
      <w:r w:rsidR="00B665E6" w:rsidRPr="00B665E6">
        <w:rPr>
          <w:rFonts w:asciiTheme="majorHAnsi" w:hAnsiTheme="majorHAnsi" w:cs="Times New Roman"/>
        </w:rPr>
        <w:t xml:space="preserve">posleni u kompaniji Bingo d.o.o. u kojoj se sprovodi nagradna igra, kao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1E804E88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          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01</w:t>
      </w:r>
      <w:r w:rsidR="00AA0538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0538">
        <w:rPr>
          <w:rFonts w:asciiTheme="majorHAnsi" w:hAnsiTheme="majorHAnsi" w:cs="Times New Roman"/>
          <w:lang w:val="it-IT"/>
        </w:rPr>
        <w:t>.2020</w:t>
      </w:r>
      <w:r w:rsidR="00D12180" w:rsidRPr="00F805D7">
        <w:rPr>
          <w:rFonts w:asciiTheme="majorHAnsi" w:hAnsiTheme="majorHAnsi" w:cs="Times New Roman"/>
          <w:lang w:val="it-IT"/>
        </w:rPr>
        <w:t xml:space="preserve">.  do  </w:t>
      </w:r>
      <w:r w:rsidR="003A7271">
        <w:rPr>
          <w:rFonts w:asciiTheme="majorHAnsi" w:hAnsiTheme="majorHAnsi" w:cs="Times New Roman"/>
          <w:lang w:val="it-IT"/>
        </w:rPr>
        <w:t>31</w:t>
      </w:r>
      <w:r w:rsidR="00AA0538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.2020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3A7271">
        <w:rPr>
          <w:rFonts w:asciiTheme="majorHAnsi" w:hAnsiTheme="majorHAnsi" w:cs="Times New Roman"/>
          <w:lang w:val="pl-PL"/>
        </w:rPr>
        <w:t>minimalno jedan blister Duracell baterija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4F5E53CD" w14:textId="73C81340" w:rsidR="00DE57E5" w:rsidRDefault="003D135E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-</w:t>
      </w:r>
      <w:r w:rsidR="003A7271">
        <w:rPr>
          <w:rFonts w:asciiTheme="majorHAnsi" w:hAnsiTheme="majorHAnsi" w:cs="Times New Roman"/>
          <w:lang w:val="pl-PL"/>
        </w:rPr>
        <w:t xml:space="preserve"> 1</w:t>
      </w:r>
      <w:r w:rsidR="0002299C">
        <w:rPr>
          <w:rFonts w:asciiTheme="majorHAnsi" w:hAnsiTheme="majorHAnsi" w:cs="Times New Roman"/>
          <w:lang w:val="pl-PL"/>
        </w:rPr>
        <w:t xml:space="preserve"> x</w:t>
      </w:r>
      <w:r w:rsidR="00AA312C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pl-PL"/>
        </w:rPr>
        <w:t>APPLE IPHONE 11</w:t>
      </w:r>
    </w:p>
    <w:p w14:paraId="3C2C6EF2" w14:textId="7482BC0B" w:rsidR="0002299C" w:rsidRDefault="0002299C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3A7271">
        <w:rPr>
          <w:rFonts w:asciiTheme="majorHAnsi" w:hAnsiTheme="majorHAnsi" w:cs="Times New Roman"/>
          <w:lang w:val="pl-PL"/>
        </w:rPr>
        <w:t>2 x SONY PS4</w:t>
      </w:r>
    </w:p>
    <w:p w14:paraId="2D4014AB" w14:textId="0E65B74B" w:rsidR="003A7271" w:rsidRDefault="003A7271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- 3 x BRAUN APARAT</w:t>
      </w:r>
    </w:p>
    <w:p w14:paraId="258032D0" w14:textId="546B238F" w:rsidR="007F5DD5" w:rsidRDefault="007F5DD5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3A7271">
        <w:rPr>
          <w:rFonts w:asciiTheme="majorHAnsi" w:hAnsiTheme="majorHAnsi" w:cs="Times New Roman"/>
          <w:lang w:val="pl-PL"/>
        </w:rPr>
        <w:t>22 X DURACELL POWER BANK</w:t>
      </w:r>
      <w:r>
        <w:rPr>
          <w:rFonts w:asciiTheme="majorHAnsi" w:hAnsiTheme="majorHAnsi" w:cs="Times New Roman"/>
          <w:lang w:val="pl-PL"/>
        </w:rPr>
        <w:t xml:space="preserve"> </w:t>
      </w:r>
    </w:p>
    <w:p w14:paraId="3BA7EFEE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3D135E" w:rsidRPr="00F805D7" w14:paraId="024DAA77" w14:textId="77777777" w:rsidTr="00115FC4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2F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45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5F5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A2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F5301C" w:rsidRPr="00F805D7" w14:paraId="1E8BB2BD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4CBA" w14:textId="0ECC3F5D" w:rsidR="00F5301C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Apple Iphone 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FEF" w14:textId="50B716F2" w:rsidR="002C0183" w:rsidRPr="00F805D7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A7271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180A" w14:textId="091E4804" w:rsidR="00F5301C" w:rsidRPr="00F805D7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1.940,00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06FC" w14:textId="69BD7AC5" w:rsidR="00F5301C" w:rsidRPr="00F805D7" w:rsidRDefault="001E2CF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1.940,00</w:t>
            </w:r>
          </w:p>
        </w:tc>
      </w:tr>
      <w:tr w:rsidR="0041198B" w:rsidRPr="00F805D7" w14:paraId="2304D750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B12F" w14:textId="12DD4A42" w:rsidR="0041198B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SONY PS4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3E93" w14:textId="4E768DD5" w:rsidR="0041198B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79D3" w14:textId="13880075" w:rsidR="0041198B" w:rsidRPr="00F805D7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6733" w14:textId="37EF5537" w:rsidR="0041198B" w:rsidRPr="00F805D7" w:rsidRDefault="001E2CFE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1.034,00</w:t>
            </w:r>
          </w:p>
        </w:tc>
      </w:tr>
      <w:tr w:rsidR="00713AB4" w:rsidRPr="00F805D7" w14:paraId="65E4C31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DF3D" w14:textId="0D56DE08" w:rsidR="00713AB4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Braun aparat</w:t>
            </w:r>
            <w:r w:rsidR="001E2CFE">
              <w:rPr>
                <w:rFonts w:asciiTheme="majorHAnsi" w:hAnsiTheme="majorHAnsi" w:cs="Times New Roman"/>
              </w:rPr>
              <w:t xml:space="preserve"> muški 130s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C49C" w14:textId="37CF5BAF" w:rsidR="00713AB4" w:rsidRDefault="00D3799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6269" w14:textId="63863469" w:rsidR="00713AB4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42,12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1725" w14:textId="36FC6338" w:rsidR="001E2CFE" w:rsidRDefault="00D37991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84,24</w:t>
            </w:r>
          </w:p>
        </w:tc>
      </w:tr>
      <w:tr w:rsidR="001E2CFE" w:rsidRPr="00F805D7" w14:paraId="76F96FD8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5745" w14:textId="3FADB783" w:rsidR="001E2CFE" w:rsidRDefault="001E2CF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Braun apart </w:t>
            </w:r>
            <w:r>
              <w:rPr>
                <w:rFonts w:ascii="Calibri Light" w:hAnsi="Calibri Light" w:cs="Times New Roman"/>
              </w:rPr>
              <w:t>ž</w:t>
            </w:r>
            <w:r>
              <w:rPr>
                <w:rFonts w:asciiTheme="majorHAnsi" w:hAnsiTheme="majorHAnsi" w:cs="Times New Roman"/>
              </w:rPr>
              <w:t>enski 3170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7E8FA" w14:textId="28FD092A" w:rsidR="001E2CFE" w:rsidRDefault="00D3799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A2D9" w14:textId="0E7E04BA" w:rsidR="001E2CFE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48,05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4B7B" w14:textId="0B772E98" w:rsidR="001E2CFE" w:rsidRDefault="00D37991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48,05</w:t>
            </w:r>
          </w:p>
        </w:tc>
      </w:tr>
      <w:tr w:rsidR="003A7271" w:rsidRPr="00F805D7" w14:paraId="75C76EC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AAC05" w14:textId="156FC1EB" w:rsidR="003A7271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Duracell powerbank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2E74" w14:textId="7B6F05E5" w:rsidR="003A7271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150C" w14:textId="73A4E410" w:rsidR="003A7271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29,74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3F54" w14:textId="76432920" w:rsidR="003A7271" w:rsidRDefault="00D37991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</w:t>
            </w:r>
            <w:r w:rsidR="001E2CFE">
              <w:rPr>
                <w:rFonts w:asciiTheme="majorHAnsi" w:hAnsiTheme="majorHAnsi" w:cs="Times New Roman"/>
              </w:rPr>
              <w:t>654,28</w:t>
            </w:r>
          </w:p>
        </w:tc>
      </w:tr>
      <w:tr w:rsidR="003D135E" w:rsidRPr="00F805D7" w14:paraId="7388FCDB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8D0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A66" w14:textId="6D4224DD" w:rsidR="003D135E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4F7E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78F4" w14:textId="1988FA70" w:rsidR="003D135E" w:rsidRPr="00F805D7" w:rsidRDefault="00D37991" w:rsidP="00D04BC7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3.760,57</w:t>
            </w:r>
          </w:p>
        </w:tc>
      </w:tr>
    </w:tbl>
    <w:p w14:paraId="6959640D" w14:textId="51257A78" w:rsidR="002D7A05" w:rsidRPr="00F805D7" w:rsidRDefault="00761559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</w:t>
      </w:r>
      <w:r w:rsidR="00626F8B" w:rsidRPr="00F805D7">
        <w:rPr>
          <w:rFonts w:asciiTheme="majorHAnsi" w:hAnsiTheme="majorHAnsi" w:cs="Times New Roman"/>
          <w:lang w:val="pl-PL"/>
        </w:rPr>
        <w:t>n</w:t>
      </w:r>
      <w:r w:rsidR="00784701" w:rsidRPr="00F805D7">
        <w:rPr>
          <w:rFonts w:asciiTheme="majorHAnsi" w:hAnsiTheme="majorHAnsi" w:cs="Times New Roman"/>
          <w:lang w:val="pl-PL"/>
        </w:rPr>
        <w:t>a</w:t>
      </w:r>
      <w:r w:rsidR="00554EC5" w:rsidRPr="00F805D7">
        <w:rPr>
          <w:rFonts w:asciiTheme="majorHAnsi" w:hAnsiTheme="majorHAnsi" w:cs="Times New Roman"/>
          <w:lang w:val="pl-PL"/>
        </w:rPr>
        <w:t xml:space="preserve"> vrijednost nagrada je </w:t>
      </w:r>
      <w:r w:rsidR="00D37991" w:rsidRPr="00D37991">
        <w:rPr>
          <w:rFonts w:asciiTheme="majorHAnsi" w:hAnsiTheme="majorHAnsi" w:cs="Times New Roman"/>
          <w:lang w:val="pl-PL"/>
        </w:rPr>
        <w:t>3.760,57</w:t>
      </w:r>
      <w:r w:rsidR="0029429A" w:rsidRPr="00D37991">
        <w:rPr>
          <w:rFonts w:asciiTheme="majorHAnsi" w:hAnsiTheme="majorHAnsi" w:cs="Times New Roman"/>
          <w:lang w:val="pl-PL"/>
        </w:rPr>
        <w:t xml:space="preserve"> </w:t>
      </w:r>
      <w:r w:rsidR="003D135E" w:rsidRPr="00F805D7">
        <w:rPr>
          <w:rFonts w:asciiTheme="majorHAnsi" w:hAnsiTheme="majorHAnsi" w:cs="Times New Roman"/>
          <w:lang w:val="pl-PL"/>
        </w:rPr>
        <w:t>KM (PDV uračunat) po fiksnom kur</w:t>
      </w:r>
      <w:r w:rsidR="00405222" w:rsidRPr="00F805D7">
        <w:rPr>
          <w:rFonts w:asciiTheme="majorHAnsi" w:hAnsiTheme="majorHAnsi" w:cs="Times New Roman"/>
          <w:lang w:val="pl-PL"/>
        </w:rPr>
        <w:t>su</w:t>
      </w:r>
      <w:r w:rsidR="0029429A" w:rsidRPr="00F805D7">
        <w:rPr>
          <w:rFonts w:asciiTheme="majorHAnsi" w:hAnsiTheme="majorHAnsi" w:cs="Times New Roman"/>
          <w:lang w:val="pl-PL"/>
        </w:rPr>
        <w:t xml:space="preserve"> Centralne Banke, na dan </w:t>
      </w:r>
      <w:r w:rsidR="007D6CA2">
        <w:rPr>
          <w:rFonts w:asciiTheme="majorHAnsi" w:hAnsiTheme="majorHAnsi" w:cs="Times New Roman"/>
          <w:lang w:val="pl-PL"/>
        </w:rPr>
        <w:t>1.</w:t>
      </w:r>
      <w:r w:rsidR="00487875">
        <w:rPr>
          <w:rFonts w:asciiTheme="majorHAnsi" w:hAnsiTheme="majorHAnsi" w:cs="Times New Roman"/>
          <w:lang w:val="pl-PL"/>
        </w:rPr>
        <w:t>11</w:t>
      </w:r>
      <w:r w:rsidR="00F6170E">
        <w:rPr>
          <w:rFonts w:asciiTheme="majorHAnsi" w:hAnsiTheme="majorHAnsi" w:cs="Times New Roman"/>
          <w:lang w:val="pl-PL"/>
        </w:rPr>
        <w:t>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F6170E">
        <w:rPr>
          <w:rFonts w:asciiTheme="majorHAnsi" w:hAnsiTheme="majorHAnsi" w:cs="Times New Roman"/>
          <w:lang w:val="pl-PL"/>
        </w:rPr>
        <w:t>2020.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56048BA" w14:textId="54962AC4" w:rsidR="00CB27D5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01</w:t>
      </w:r>
      <w:r w:rsidR="00794DBB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794DBB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 xml:space="preserve">.  do  </w:t>
      </w:r>
      <w:r w:rsidR="003A7271">
        <w:rPr>
          <w:rFonts w:asciiTheme="majorHAnsi" w:hAnsiTheme="majorHAnsi" w:cs="Times New Roman"/>
          <w:lang w:val="it-IT"/>
        </w:rPr>
        <w:t>31</w:t>
      </w:r>
      <w:r w:rsidR="00794DBB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CA1C55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>. godine</w:t>
      </w:r>
      <w:r w:rsidR="00075A71" w:rsidRPr="00F805D7">
        <w:rPr>
          <w:rFonts w:asciiTheme="majorHAnsi" w:hAnsiTheme="majorHAnsi" w:cs="Times New Roman"/>
          <w:lang w:val="it-IT"/>
        </w:rPr>
        <w:t xml:space="preserve">.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CA1C55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>na području Federacije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</w:t>
      </w:r>
      <w:r w:rsidR="003A7271">
        <w:rPr>
          <w:rFonts w:asciiTheme="majorHAnsi" w:hAnsiTheme="majorHAnsi" w:cs="Times New Roman"/>
          <w:lang w:val="pl-PL"/>
        </w:rPr>
        <w:t xml:space="preserve"> minimaln jedan blister Duracell baterija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 xml:space="preserve">: </w:t>
      </w:r>
      <w:r w:rsidR="00794DBB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ime i prezime</w:t>
      </w:r>
      <w:r w:rsidR="00CA1C55">
        <w:rPr>
          <w:rFonts w:asciiTheme="majorHAnsi" w:hAnsiTheme="majorHAnsi" w:cs="Times New Roman"/>
          <w:lang w:val="pl-PL"/>
        </w:rPr>
        <w:t xml:space="preserve">,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0E0B27" w:rsidRPr="00F805D7">
        <w:rPr>
          <w:rFonts w:asciiTheme="majorHAnsi" w:hAnsiTheme="majorHAnsi" w:cs="Times New Roman"/>
          <w:lang w:val="pl-PL"/>
        </w:rPr>
        <w:t xml:space="preserve"> </w:t>
      </w:r>
      <w:r w:rsidR="000E0B27">
        <w:rPr>
          <w:rFonts w:asciiTheme="majorHAnsi" w:hAnsiTheme="majorHAnsi" w:cs="Times New Roman"/>
          <w:lang w:val="pl-PL"/>
        </w:rPr>
        <w:t xml:space="preserve">,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</w:t>
      </w:r>
      <w:r w:rsidR="00044D4F">
        <w:rPr>
          <w:rFonts w:asciiTheme="majorHAnsi" w:hAnsiTheme="majorHAnsi" w:cs="Times New Roman"/>
          <w:lang w:val="pl-PL"/>
        </w:rPr>
        <w:t>091 112 404</w:t>
      </w:r>
      <w:r w:rsidR="005A70A8" w:rsidRPr="005A70A8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507997" w:rsidRPr="00507997">
        <w:rPr>
          <w:rFonts w:asciiTheme="majorHAnsi" w:hAnsiTheme="majorHAnsi" w:cs="Times New Roman"/>
          <w:lang w:val="pl-PL"/>
        </w:rPr>
        <w:t xml:space="preserve"> 15994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SARAJEVO/ ili broj računa </w:t>
      </w:r>
      <w:r w:rsidR="00C260F0">
        <w:rPr>
          <w:rFonts w:asciiTheme="majorHAnsi" w:hAnsiTheme="majorHAnsi" w:cs="Times New Roman"/>
          <w:lang w:val="pl-PL"/>
        </w:rPr>
        <w:t>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hyperlink r:id="rId7" w:history="1">
        <w:r w:rsidR="00B649A5" w:rsidRPr="00EC1B56">
          <w:rPr>
            <w:rStyle w:val="Hyperlink"/>
            <w:rFonts w:asciiTheme="majorHAnsi" w:hAnsiTheme="majorHAnsi" w:cs="Times New Roman"/>
            <w:lang w:val="pl-PL"/>
          </w:rPr>
          <w:t>www.duracell.ba</w:t>
        </w:r>
      </w:hyperlink>
      <w:r w:rsidR="00C260F0">
        <w:rPr>
          <w:rStyle w:val="Hyperlink"/>
          <w:rFonts w:asciiTheme="majorHAnsi" w:hAnsiTheme="majorHAnsi" w:cs="Times New Roman"/>
          <w:lang w:val="pl-PL"/>
        </w:rPr>
        <w:t xml:space="preserve"> </w:t>
      </w:r>
      <w:r w:rsidR="00C260F0" w:rsidRPr="00C260F0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>i na taj način se besplatno registrovati za nagradnu igru</w:t>
      </w:r>
      <w:r w:rsidR="003E611E" w:rsidRPr="00C260F0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 xml:space="preserve">dobitnika, </w:t>
      </w:r>
      <w:r w:rsidR="005A70A8">
        <w:rPr>
          <w:rFonts w:asciiTheme="majorHAnsi" w:hAnsiTheme="majorHAnsi" w:cs="Times New Roman"/>
          <w:lang w:val="pl-PL"/>
        </w:rPr>
        <w:t>11.01.2021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D24443">
        <w:rPr>
          <w:rFonts w:asciiTheme="majorHAnsi" w:hAnsiTheme="majorHAnsi" w:cs="Times New Roman"/>
          <w:lang w:val="pl-PL"/>
        </w:rPr>
        <w:t>5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5A70A8">
        <w:rPr>
          <w:rFonts w:asciiTheme="majorHAnsi" w:hAnsiTheme="majorHAnsi" w:cs="Times New Roman"/>
          <w:lang w:val="pl-PL"/>
        </w:rPr>
        <w:t>28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5A70A8">
        <w:rPr>
          <w:rFonts w:asciiTheme="majorHAnsi" w:hAnsiTheme="majorHAnsi" w:cs="Times New Roman"/>
          <w:lang w:val="pl-PL"/>
        </w:rPr>
        <w:t xml:space="preserve"> svaku od 28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5A70A8">
        <w:rPr>
          <w:rFonts w:asciiTheme="majorHAnsi" w:hAnsiTheme="majorHAnsi" w:cs="Times New Roman"/>
          <w:lang w:val="pl-PL"/>
        </w:rPr>
        <w:t>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5067CC">
        <w:rPr>
          <w:rFonts w:asciiTheme="majorHAnsi" w:hAnsiTheme="majorHAnsi" w:cs="Times New Roman"/>
          <w:lang w:val="pl-PL"/>
        </w:rPr>
        <w:t>e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5A70A8">
        <w:rPr>
          <w:rFonts w:asciiTheme="majorHAnsi" w:hAnsiTheme="majorHAnsi" w:cs="Times New Roman"/>
          <w:lang w:val="pl-PL"/>
        </w:rPr>
        <w:t>31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CA1C55">
        <w:rPr>
          <w:rFonts w:asciiTheme="majorHAnsi" w:hAnsiTheme="majorHAnsi" w:cs="Times New Roman"/>
          <w:lang w:val="pl-PL"/>
        </w:rPr>
        <w:t>2020.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5A70A8">
        <w:rPr>
          <w:rFonts w:asciiTheme="majorHAnsi" w:hAnsiTheme="majorHAnsi" w:cs="Times New Roman"/>
          <w:lang w:val="pl-PL"/>
        </w:rPr>
        <w:t>01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5067CC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5A70A8">
        <w:rPr>
          <w:rFonts w:asciiTheme="majorHAnsi" w:hAnsiTheme="majorHAnsi" w:cs="Times New Roman"/>
          <w:lang w:val="pl-PL"/>
        </w:rPr>
        <w:t>31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>. do 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ili web prijava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13F16FAA" w14:textId="77777777" w:rsidR="00A64F49" w:rsidRDefault="00A64F49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219F0F0E" w14:textId="77777777" w:rsidR="005A70A8" w:rsidRDefault="005A70A8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114381A6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5A70A8">
        <w:rPr>
          <w:rFonts w:asciiTheme="majorHAnsi" w:hAnsiTheme="majorHAnsi" w:cs="Times New Roman"/>
          <w:lang w:val="pl-PL"/>
        </w:rPr>
        <w:t>1</w:t>
      </w:r>
      <w:r w:rsidR="007E0ABF">
        <w:rPr>
          <w:rFonts w:asciiTheme="majorHAnsi" w:hAnsiTheme="majorHAnsi" w:cs="Times New Roman"/>
          <w:lang w:val="pl-PL"/>
        </w:rPr>
        <w:t>1.</w:t>
      </w:r>
      <w:r w:rsidR="005A70A8">
        <w:rPr>
          <w:rFonts w:asciiTheme="majorHAnsi" w:hAnsiTheme="majorHAnsi" w:cs="Times New Roman"/>
          <w:lang w:val="pl-PL"/>
        </w:rPr>
        <w:t>01</w:t>
      </w:r>
      <w:r w:rsidR="009D3158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2021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 na nagradu snosi organizator.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4E7A5989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>dobijanju rješenja od Ministarstva Finasija Federacije BiH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web stranici </w:t>
      </w:r>
      <w:hyperlink r:id="rId8" w:history="1">
        <w:r w:rsidR="005A70A8" w:rsidRPr="00073DB5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  <w:r w:rsidR="00487875">
        <w:rPr>
          <w:rFonts w:asciiTheme="majorHAnsi" w:hAnsiTheme="majorHAnsi" w:cs="Times New Roman"/>
          <w:lang w:val="it-IT"/>
        </w:rPr>
        <w:t xml:space="preserve">i </w:t>
      </w:r>
      <w:hyperlink r:id="rId9" w:history="1">
        <w:r w:rsidR="00487875" w:rsidRPr="00F221E2">
          <w:rPr>
            <w:rStyle w:val="Hyperlink"/>
            <w:rFonts w:asciiTheme="majorHAnsi" w:hAnsiTheme="majorHAnsi" w:cs="Times New Roman"/>
            <w:lang w:val="it-IT"/>
          </w:rPr>
          <w:t>www.bingotuzla.ba</w:t>
        </w:r>
      </w:hyperlink>
    </w:p>
    <w:p w14:paraId="02257483" w14:textId="77777777" w:rsidR="00487875" w:rsidRDefault="00487875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EFCFC4F" w14:textId="4A685CD5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F3744D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59C1724E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6D4B0D59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F805D7">
        <w:rPr>
          <w:rFonts w:asciiTheme="majorHAnsi" w:hAnsiTheme="majorHAnsi" w:cs="Times New Roman"/>
          <w:lang w:val="it-IT"/>
        </w:rPr>
        <w:t>Ministarstva Finasija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1B14A5B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hyperlink r:id="rId10" w:history="1">
        <w:r w:rsidR="00D227C0" w:rsidRPr="00073DB5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C66403" w:rsidRPr="00C66403">
        <w:rPr>
          <w:rStyle w:val="Hyperlink"/>
          <w:rFonts w:asciiTheme="majorHAnsi" w:hAnsiTheme="majorHAnsi" w:cs="Times New Roman"/>
          <w:u w:val="none"/>
          <w:lang w:val="it-IT"/>
        </w:rPr>
        <w:t xml:space="preserve"> </w:t>
      </w:r>
      <w:r w:rsidR="00C66403" w:rsidRPr="00C66403">
        <w:rPr>
          <w:rStyle w:val="Hyperlink"/>
          <w:rFonts w:asciiTheme="majorHAnsi" w:hAnsiTheme="majorHAnsi" w:cs="Times New Roman"/>
          <w:color w:val="auto"/>
          <w:u w:val="none"/>
          <w:lang w:val="it-IT"/>
        </w:rPr>
        <w:t>i</w:t>
      </w:r>
      <w:r w:rsidR="00C66403">
        <w:rPr>
          <w:rStyle w:val="Hyperlink"/>
          <w:rFonts w:asciiTheme="majorHAnsi" w:hAnsiTheme="majorHAnsi" w:cs="Times New Roman"/>
          <w:u w:val="none"/>
          <w:lang w:val="it-IT"/>
        </w:rPr>
        <w:t xml:space="preserve"> </w:t>
      </w:r>
      <w:r w:rsidR="00C66403">
        <w:rPr>
          <w:rStyle w:val="Hyperlink"/>
          <w:rFonts w:asciiTheme="majorHAnsi" w:hAnsiTheme="majorHAnsi" w:cs="Times New Roman"/>
          <w:lang w:val="it-IT"/>
        </w:rPr>
        <w:t>www.bintotuzla.ba</w:t>
      </w:r>
      <w:r w:rsidR="001866C2">
        <w:rPr>
          <w:rFonts w:asciiTheme="majorHAnsi" w:hAnsiTheme="majorHAnsi" w:cs="Times New Roman"/>
          <w:lang w:val="it-IT"/>
        </w:rPr>
        <w:t xml:space="preserve"> </w:t>
      </w:r>
      <w:r w:rsidR="00D22281" w:rsidRPr="00F805D7">
        <w:rPr>
          <w:rFonts w:asciiTheme="majorHAnsi" w:hAnsiTheme="majorHAnsi" w:cs="Times New Roman"/>
        </w:rPr>
        <w:t>kao i lista dobitn</w:t>
      </w:r>
      <w:r w:rsidR="00770948" w:rsidRPr="00F805D7">
        <w:rPr>
          <w:rFonts w:asciiTheme="majorHAnsi" w:hAnsiTheme="majorHAnsi" w:cs="Times New Roman"/>
        </w:rPr>
        <w:t>ika po završetku nagradne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59188A90" w14:textId="102FD55A" w:rsidR="00EA102D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snagu nakon odobrenja od strane </w:t>
      </w:r>
      <w:r w:rsidR="00322893" w:rsidRPr="00F805D7">
        <w:rPr>
          <w:rFonts w:asciiTheme="majorHAnsi" w:hAnsiTheme="majorHAnsi" w:cs="Times New Roman"/>
        </w:rPr>
        <w:t>Ministarstva Finansija BiH.</w:t>
      </w:r>
    </w:p>
    <w:p w14:paraId="161893CC" w14:textId="5D604440" w:rsidR="00507997" w:rsidRDefault="00507997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Br Rješenja: </w:t>
      </w:r>
      <w:r w:rsidR="00345BFD" w:rsidRPr="00345BFD">
        <w:rPr>
          <w:rFonts w:asciiTheme="majorHAnsi" w:hAnsiTheme="majorHAnsi" w:cs="Times New Roman"/>
        </w:rPr>
        <w:t>UP-05-12-1-974/2020</w:t>
      </w:r>
    </w:p>
    <w:p w14:paraId="07C72B14" w14:textId="5EC80997" w:rsidR="00507997" w:rsidRDefault="00507997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Datum: </w:t>
      </w:r>
      <w:r w:rsidR="00345BFD" w:rsidRPr="00345BFD">
        <w:rPr>
          <w:rFonts w:asciiTheme="majorHAnsi" w:hAnsiTheme="majorHAnsi" w:cs="Times New Roman"/>
        </w:rPr>
        <w:t>17.11.2020</w:t>
      </w:r>
    </w:p>
    <w:p w14:paraId="10E8D513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F43055B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9314A86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04E80C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46E760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12757F9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6695F1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3931804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  <w:bookmarkStart w:id="0" w:name="_GoBack"/>
      <w:bookmarkEnd w:id="0"/>
    </w:p>
    <w:p w14:paraId="7D0D321B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484225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51E8DE3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0360E76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4D5AC44" w14:textId="218DA833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   </w:t>
      </w:r>
    </w:p>
    <w:p w14:paraId="743EA004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27A71FC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E73B8FF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88CF06A" w14:textId="77777777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1F01448" w14:textId="37C05D6B" w:rsidR="000D27CC" w:rsidRDefault="000D27C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                        Broj protokola: 312/20</w:t>
      </w:r>
    </w:p>
    <w:p w14:paraId="78B44B79" w14:textId="69CC9109" w:rsidR="000D27CC" w:rsidRPr="00F805D7" w:rsidRDefault="000D27CC" w:rsidP="004911B3">
      <w:pPr>
        <w:pStyle w:val="NoSpacing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                                        Datum: 05.11.2020</w:t>
      </w:r>
    </w:p>
    <w:sectPr w:rsidR="000D27CC" w:rsidRPr="00F805D7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836F" w16cex:dateUtc="2020-12-01T07:55:00Z"/>
  <w16cex:commentExtensible w16cex:durableId="23708376" w16cex:dateUtc="2020-12-01T07:55:00Z"/>
  <w16cex:commentExtensible w16cex:durableId="2370839C" w16cex:dateUtc="2020-12-01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87B055" w16cid:durableId="2370836F"/>
  <w16cid:commentId w16cid:paraId="5CD18C15" w16cid:durableId="23708376"/>
  <w16cid:commentId w16cid:paraId="7F997BEA" w16cid:durableId="237083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66EB" w14:textId="77777777" w:rsidR="00316BAD" w:rsidRDefault="00316BAD" w:rsidP="000A2EF8">
      <w:pPr>
        <w:spacing w:after="0" w:line="240" w:lineRule="auto"/>
      </w:pPr>
      <w:r>
        <w:separator/>
      </w:r>
    </w:p>
  </w:endnote>
  <w:endnote w:type="continuationSeparator" w:id="0">
    <w:p w14:paraId="35C21587" w14:textId="77777777" w:rsidR="00316BAD" w:rsidRDefault="00316BAD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3177" w14:textId="77777777" w:rsidR="00316BAD" w:rsidRDefault="00316BAD" w:rsidP="000A2EF8">
      <w:pPr>
        <w:spacing w:after="0" w:line="240" w:lineRule="auto"/>
      </w:pPr>
      <w:r>
        <w:separator/>
      </w:r>
    </w:p>
  </w:footnote>
  <w:footnote w:type="continuationSeparator" w:id="0">
    <w:p w14:paraId="345B1B13" w14:textId="77777777" w:rsidR="00316BAD" w:rsidRDefault="00316BAD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13DFC"/>
    <w:rsid w:val="000203CE"/>
    <w:rsid w:val="0002299C"/>
    <w:rsid w:val="00025AEB"/>
    <w:rsid w:val="00044D4F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27CC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5AB"/>
    <w:rsid w:val="001E2BFB"/>
    <w:rsid w:val="001E2CFE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75105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780"/>
    <w:rsid w:val="00313ACE"/>
    <w:rsid w:val="00316BAD"/>
    <w:rsid w:val="00322893"/>
    <w:rsid w:val="003353C7"/>
    <w:rsid w:val="0033787A"/>
    <w:rsid w:val="003446CD"/>
    <w:rsid w:val="00345BFD"/>
    <w:rsid w:val="0036036E"/>
    <w:rsid w:val="00371503"/>
    <w:rsid w:val="0037160A"/>
    <w:rsid w:val="0037451F"/>
    <w:rsid w:val="0038491C"/>
    <w:rsid w:val="00390C43"/>
    <w:rsid w:val="00392018"/>
    <w:rsid w:val="00394B28"/>
    <w:rsid w:val="003A7271"/>
    <w:rsid w:val="003C6D3E"/>
    <w:rsid w:val="003D135E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7875"/>
    <w:rsid w:val="004911B3"/>
    <w:rsid w:val="00494A57"/>
    <w:rsid w:val="004961C3"/>
    <w:rsid w:val="004A0186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A70A8"/>
    <w:rsid w:val="005B5645"/>
    <w:rsid w:val="005C49BD"/>
    <w:rsid w:val="005E0D29"/>
    <w:rsid w:val="005E7387"/>
    <w:rsid w:val="005F1104"/>
    <w:rsid w:val="005F1144"/>
    <w:rsid w:val="005F4342"/>
    <w:rsid w:val="00623548"/>
    <w:rsid w:val="006256E8"/>
    <w:rsid w:val="00626F8B"/>
    <w:rsid w:val="00631EE6"/>
    <w:rsid w:val="00674007"/>
    <w:rsid w:val="006A2553"/>
    <w:rsid w:val="006B5A4D"/>
    <w:rsid w:val="006C67B0"/>
    <w:rsid w:val="006E57C2"/>
    <w:rsid w:val="006E6105"/>
    <w:rsid w:val="006F34C8"/>
    <w:rsid w:val="00713AB4"/>
    <w:rsid w:val="00726608"/>
    <w:rsid w:val="007335C9"/>
    <w:rsid w:val="00735EF8"/>
    <w:rsid w:val="00741D9C"/>
    <w:rsid w:val="00742926"/>
    <w:rsid w:val="007537E9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4A1A"/>
    <w:rsid w:val="007D6CA2"/>
    <w:rsid w:val="007E09FE"/>
    <w:rsid w:val="007E0ABF"/>
    <w:rsid w:val="007F2DA7"/>
    <w:rsid w:val="007F5DD5"/>
    <w:rsid w:val="00813392"/>
    <w:rsid w:val="00817925"/>
    <w:rsid w:val="00830489"/>
    <w:rsid w:val="00842171"/>
    <w:rsid w:val="00845D59"/>
    <w:rsid w:val="00863E4E"/>
    <w:rsid w:val="008722B4"/>
    <w:rsid w:val="00873DA9"/>
    <w:rsid w:val="008841DD"/>
    <w:rsid w:val="008C4DA0"/>
    <w:rsid w:val="00911BBC"/>
    <w:rsid w:val="00951096"/>
    <w:rsid w:val="00962BAA"/>
    <w:rsid w:val="00966724"/>
    <w:rsid w:val="0097532B"/>
    <w:rsid w:val="009850C8"/>
    <w:rsid w:val="009A1C2E"/>
    <w:rsid w:val="009B3452"/>
    <w:rsid w:val="009C202F"/>
    <w:rsid w:val="009C458C"/>
    <w:rsid w:val="009D3158"/>
    <w:rsid w:val="009D64C3"/>
    <w:rsid w:val="009E518C"/>
    <w:rsid w:val="009E6D52"/>
    <w:rsid w:val="009E7778"/>
    <w:rsid w:val="009F37C3"/>
    <w:rsid w:val="00A22488"/>
    <w:rsid w:val="00A26930"/>
    <w:rsid w:val="00A27366"/>
    <w:rsid w:val="00A339B3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9A5"/>
    <w:rsid w:val="00B64C73"/>
    <w:rsid w:val="00B665E6"/>
    <w:rsid w:val="00B71569"/>
    <w:rsid w:val="00B943A9"/>
    <w:rsid w:val="00B96427"/>
    <w:rsid w:val="00B970DC"/>
    <w:rsid w:val="00B9740C"/>
    <w:rsid w:val="00BB3118"/>
    <w:rsid w:val="00BB4351"/>
    <w:rsid w:val="00BC03F6"/>
    <w:rsid w:val="00BC11B4"/>
    <w:rsid w:val="00BC757A"/>
    <w:rsid w:val="00BD719F"/>
    <w:rsid w:val="00BE0468"/>
    <w:rsid w:val="00BE26EE"/>
    <w:rsid w:val="00BF5074"/>
    <w:rsid w:val="00C05DBD"/>
    <w:rsid w:val="00C07A0F"/>
    <w:rsid w:val="00C260F0"/>
    <w:rsid w:val="00C264E0"/>
    <w:rsid w:val="00C4676D"/>
    <w:rsid w:val="00C66403"/>
    <w:rsid w:val="00C70102"/>
    <w:rsid w:val="00C732E5"/>
    <w:rsid w:val="00C73FC1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22281"/>
    <w:rsid w:val="00D227C0"/>
    <w:rsid w:val="00D24443"/>
    <w:rsid w:val="00D25825"/>
    <w:rsid w:val="00D302A8"/>
    <w:rsid w:val="00D305D4"/>
    <w:rsid w:val="00D37991"/>
    <w:rsid w:val="00D41592"/>
    <w:rsid w:val="00D467B6"/>
    <w:rsid w:val="00D54CCD"/>
    <w:rsid w:val="00D55D53"/>
    <w:rsid w:val="00D61D23"/>
    <w:rsid w:val="00D90C4F"/>
    <w:rsid w:val="00D91B56"/>
    <w:rsid w:val="00DA28BB"/>
    <w:rsid w:val="00DB60B9"/>
    <w:rsid w:val="00DD63A7"/>
    <w:rsid w:val="00DD7083"/>
    <w:rsid w:val="00DE531B"/>
    <w:rsid w:val="00DE57E5"/>
    <w:rsid w:val="00E01736"/>
    <w:rsid w:val="00E070FF"/>
    <w:rsid w:val="00E079FC"/>
    <w:rsid w:val="00E1329A"/>
    <w:rsid w:val="00E43E89"/>
    <w:rsid w:val="00E46A1F"/>
    <w:rsid w:val="00E708CE"/>
    <w:rsid w:val="00EA102D"/>
    <w:rsid w:val="00EA7474"/>
    <w:rsid w:val="00EB7409"/>
    <w:rsid w:val="00ED1A5D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cell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racell.ba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uracell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8D1F-CDBC-4C15-8BAC-BD55F94A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Ana Milidrag</cp:lastModifiedBy>
  <cp:revision>3</cp:revision>
  <cp:lastPrinted>2017-10-25T14:12:00Z</cp:lastPrinted>
  <dcterms:created xsi:type="dcterms:W3CDTF">2020-12-01T12:05:00Z</dcterms:created>
  <dcterms:modified xsi:type="dcterms:W3CDTF">2020-12-01T12:35:00Z</dcterms:modified>
</cp:coreProperties>
</file>